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79" w:rsidRDefault="004C0A7B">
      <w:pPr>
        <w:tabs>
          <w:tab w:val="left" w:pos="142"/>
        </w:tabs>
        <w:spacing w:before="100" w:beforeAutospacing="1" w:after="100" w:afterAutospacing="1" w:line="240" w:lineRule="auto"/>
        <w:rPr>
          <w:rFonts w:cs="Arial"/>
          <w:b/>
          <w:bCs/>
          <w:sz w:val="24"/>
          <w:szCs w:val="24"/>
        </w:rPr>
      </w:pPr>
      <w:r>
        <w:rPr>
          <w:rFonts w:cs="Arial"/>
          <w:b/>
          <w:bCs/>
          <w:sz w:val="24"/>
          <w:szCs w:val="24"/>
        </w:rPr>
        <w:t>PERSON SPECIFICATION</w:t>
      </w:r>
    </w:p>
    <w:p w:rsidR="00C81279" w:rsidRDefault="004C0A7B">
      <w:pPr>
        <w:rPr>
          <w:i/>
        </w:rPr>
      </w:pPr>
      <w:r>
        <w:rPr>
          <w:i/>
        </w:rPr>
        <w:t>The following characteristics are those that are demonstrated by our staff team on a daily basis. You are likely to possess most if not all. Whilst experience is always a good thing, it is not the most important aspect that we look for. The willingness to learn quickly, the drive and determination to find solutions and overcome problems, and to do this in a personable and team focussed manner, are far more important to us.</w:t>
      </w:r>
    </w:p>
    <w:tbl>
      <w:tblPr>
        <w:tblStyle w:val="TableGrid"/>
        <w:tblW w:w="9917" w:type="dxa"/>
        <w:tblLook w:val="04A0" w:firstRow="1" w:lastRow="0" w:firstColumn="1" w:lastColumn="0" w:noHBand="0" w:noVBand="1"/>
      </w:tblPr>
      <w:tblGrid>
        <w:gridCol w:w="3273"/>
        <w:gridCol w:w="6644"/>
      </w:tblGrid>
      <w:tr w:rsidR="00C81279">
        <w:trPr>
          <w:trHeight w:val="484"/>
        </w:trPr>
        <w:tc>
          <w:tcPr>
            <w:tcW w:w="3273" w:type="dxa"/>
          </w:tcPr>
          <w:p w:rsidR="00C81279" w:rsidRDefault="004C0A7B">
            <w:pPr>
              <w:rPr>
                <w:rFonts w:cstheme="minorHAnsi"/>
                <w:b/>
              </w:rPr>
            </w:pPr>
            <w:r>
              <w:rPr>
                <w:rFonts w:cstheme="minorHAnsi"/>
                <w:b/>
              </w:rPr>
              <w:t>CHARACTERISTIC</w:t>
            </w:r>
          </w:p>
        </w:tc>
        <w:tc>
          <w:tcPr>
            <w:tcW w:w="6644" w:type="dxa"/>
          </w:tcPr>
          <w:p w:rsidR="00C81279" w:rsidRDefault="004C0A7B">
            <w:pPr>
              <w:rPr>
                <w:rFonts w:cstheme="minorHAnsi"/>
                <w:b/>
              </w:rPr>
            </w:pPr>
            <w:r>
              <w:rPr>
                <w:rFonts w:cstheme="minorHAnsi"/>
                <w:b/>
              </w:rPr>
              <w:t>DESCRIPTION</w:t>
            </w:r>
          </w:p>
        </w:tc>
      </w:tr>
      <w:tr w:rsidR="00C81279" w:rsidTr="00812152">
        <w:trPr>
          <w:trHeight w:val="462"/>
        </w:trPr>
        <w:tc>
          <w:tcPr>
            <w:tcW w:w="3273" w:type="dxa"/>
            <w:shd w:val="clear" w:color="auto" w:fill="D9D9D9" w:themeFill="background1" w:themeFillShade="D9"/>
          </w:tcPr>
          <w:p w:rsidR="00C81279" w:rsidRDefault="004C0A7B">
            <w:pPr>
              <w:rPr>
                <w:rFonts w:cstheme="minorHAnsi"/>
                <w:b/>
              </w:rPr>
            </w:pPr>
            <w:r>
              <w:rPr>
                <w:rFonts w:cstheme="minorHAnsi"/>
                <w:b/>
              </w:rPr>
              <w:t>Qualified teacher status</w:t>
            </w:r>
            <w:r w:rsidR="00812152">
              <w:rPr>
                <w:rFonts w:cstheme="minorHAnsi"/>
                <w:b/>
              </w:rPr>
              <w:t xml:space="preserve"> – </w:t>
            </w:r>
            <w:r w:rsidR="00AA75B5">
              <w:rPr>
                <w:rFonts w:cstheme="minorHAnsi"/>
                <w:b/>
              </w:rPr>
              <w:t>(</w:t>
            </w:r>
            <w:r w:rsidR="00812152" w:rsidRPr="00812152">
              <w:rPr>
                <w:rFonts w:cstheme="minorHAnsi"/>
                <w:b/>
                <w:i/>
              </w:rPr>
              <w:t>Teachers only</w:t>
            </w:r>
            <w:r w:rsidR="00AA75B5">
              <w:rPr>
                <w:rFonts w:cstheme="minorHAnsi"/>
                <w:b/>
                <w:i/>
              </w:rPr>
              <w:t>)</w:t>
            </w:r>
          </w:p>
        </w:tc>
        <w:tc>
          <w:tcPr>
            <w:tcW w:w="6644" w:type="dxa"/>
            <w:shd w:val="clear" w:color="auto" w:fill="D9D9D9" w:themeFill="background1" w:themeFillShade="D9"/>
          </w:tcPr>
          <w:p w:rsidR="00C81279" w:rsidRDefault="00AA75B5">
            <w:pPr>
              <w:rPr>
                <w:rFonts w:cstheme="minorHAnsi"/>
              </w:rPr>
            </w:pPr>
            <w:r>
              <w:rPr>
                <w:rFonts w:cstheme="minorHAnsi"/>
              </w:rPr>
              <w:t xml:space="preserve">Essential - </w:t>
            </w:r>
            <w:r w:rsidR="004C0A7B">
              <w:rPr>
                <w:rFonts w:cstheme="minorHAnsi"/>
              </w:rPr>
              <w:t>QTS OR CURRENTLY ON TRACK AND EXPECTED TO PASS A PGCE, SCITT OR EQUIVALENT COURSE AS A NEW TEACHER</w:t>
            </w:r>
          </w:p>
        </w:tc>
      </w:tr>
      <w:tr w:rsidR="00C81279" w:rsidTr="00812152">
        <w:trPr>
          <w:trHeight w:val="484"/>
        </w:trPr>
        <w:tc>
          <w:tcPr>
            <w:tcW w:w="3273" w:type="dxa"/>
            <w:shd w:val="clear" w:color="auto" w:fill="D9D9D9" w:themeFill="background1" w:themeFillShade="D9"/>
          </w:tcPr>
          <w:p w:rsidR="00C81279" w:rsidRDefault="004C0A7B">
            <w:pPr>
              <w:rPr>
                <w:rFonts w:cstheme="minorHAnsi"/>
                <w:b/>
              </w:rPr>
            </w:pPr>
            <w:r>
              <w:rPr>
                <w:rFonts w:cstheme="minorHAnsi"/>
                <w:b/>
              </w:rPr>
              <w:t>Job role experience</w:t>
            </w:r>
          </w:p>
          <w:p w:rsidR="00812152" w:rsidRPr="00812152" w:rsidRDefault="00AA75B5">
            <w:pPr>
              <w:rPr>
                <w:rFonts w:cstheme="minorHAnsi"/>
                <w:b/>
                <w:i/>
              </w:rPr>
            </w:pPr>
            <w:r>
              <w:rPr>
                <w:rFonts w:cstheme="minorHAnsi"/>
                <w:b/>
                <w:i/>
              </w:rPr>
              <w:t>(</w:t>
            </w:r>
            <w:r w:rsidR="00812152" w:rsidRPr="00812152">
              <w:rPr>
                <w:rFonts w:cstheme="minorHAnsi"/>
                <w:b/>
                <w:i/>
              </w:rPr>
              <w:t>Teachers only</w:t>
            </w:r>
            <w:r>
              <w:rPr>
                <w:rFonts w:cstheme="minorHAnsi"/>
                <w:b/>
                <w:i/>
              </w:rPr>
              <w:t>)</w:t>
            </w:r>
          </w:p>
        </w:tc>
        <w:tc>
          <w:tcPr>
            <w:tcW w:w="6644" w:type="dxa"/>
            <w:shd w:val="clear" w:color="auto" w:fill="D9D9D9" w:themeFill="background1" w:themeFillShade="D9"/>
          </w:tcPr>
          <w:p w:rsidR="00C81279" w:rsidRDefault="00AA75B5" w:rsidP="00A1086C">
            <w:pPr>
              <w:rPr>
                <w:rFonts w:cstheme="minorHAnsi"/>
              </w:rPr>
            </w:pPr>
            <w:r>
              <w:rPr>
                <w:rFonts w:cstheme="minorHAnsi"/>
              </w:rPr>
              <w:t xml:space="preserve">Essential - </w:t>
            </w:r>
            <w:r w:rsidR="00A1086C">
              <w:rPr>
                <w:rFonts w:cstheme="minorHAnsi"/>
              </w:rPr>
              <w:t xml:space="preserve">the applicant has relevant (subject specific), </w:t>
            </w:r>
            <w:r w:rsidR="00CF2A79">
              <w:rPr>
                <w:rFonts w:cstheme="minorHAnsi"/>
              </w:rPr>
              <w:t>and recent (within the last 5</w:t>
            </w:r>
            <w:r w:rsidR="00A1086C">
              <w:rPr>
                <w:rFonts w:cstheme="minorHAnsi"/>
              </w:rPr>
              <w:t xml:space="preserve"> years) experience of teaching in the UK state education system</w:t>
            </w:r>
          </w:p>
        </w:tc>
      </w:tr>
      <w:tr w:rsidR="00AA75B5" w:rsidTr="00AA75B5">
        <w:trPr>
          <w:trHeight w:val="484"/>
        </w:trPr>
        <w:tc>
          <w:tcPr>
            <w:tcW w:w="3273" w:type="dxa"/>
            <w:shd w:val="clear" w:color="auto" w:fill="D9D9D9" w:themeFill="background1" w:themeFillShade="D9"/>
          </w:tcPr>
          <w:p w:rsidR="00AA75B5" w:rsidRDefault="00AA75B5" w:rsidP="00AA75B5">
            <w:pPr>
              <w:rPr>
                <w:rFonts w:cstheme="minorHAnsi"/>
                <w:b/>
              </w:rPr>
            </w:pPr>
            <w:r w:rsidRPr="00EC3774">
              <w:rPr>
                <w:rFonts w:cstheme="minorHAnsi"/>
                <w:b/>
              </w:rPr>
              <w:t>NPQ or other additional qualification</w:t>
            </w:r>
          </w:p>
          <w:p w:rsidR="00AA75B5" w:rsidRPr="00AA75B5" w:rsidRDefault="00AA75B5" w:rsidP="00AA75B5">
            <w:pPr>
              <w:rPr>
                <w:rFonts w:cstheme="minorHAnsi"/>
                <w:b/>
                <w:i/>
              </w:rPr>
            </w:pPr>
            <w:r>
              <w:rPr>
                <w:rFonts w:cstheme="minorHAnsi"/>
                <w:b/>
                <w:i/>
              </w:rPr>
              <w:t>(</w:t>
            </w:r>
            <w:r w:rsidRPr="00AA75B5">
              <w:rPr>
                <w:rFonts w:cstheme="minorHAnsi"/>
                <w:b/>
                <w:i/>
              </w:rPr>
              <w:t>Leaders only</w:t>
            </w:r>
            <w:r>
              <w:rPr>
                <w:rFonts w:cstheme="minorHAnsi"/>
                <w:b/>
                <w:i/>
              </w:rPr>
              <w:t>)</w:t>
            </w:r>
          </w:p>
        </w:tc>
        <w:tc>
          <w:tcPr>
            <w:tcW w:w="6644" w:type="dxa"/>
            <w:shd w:val="clear" w:color="auto" w:fill="D9D9D9" w:themeFill="background1" w:themeFillShade="D9"/>
          </w:tcPr>
          <w:p w:rsidR="00AA75B5" w:rsidRPr="00DE4BA5" w:rsidRDefault="00AA75B5" w:rsidP="00AA75B5">
            <w:pPr>
              <w:rPr>
                <w:rFonts w:cstheme="minorHAnsi"/>
              </w:rPr>
            </w:pPr>
            <w:r>
              <w:rPr>
                <w:rFonts w:cstheme="minorHAnsi"/>
              </w:rPr>
              <w:t xml:space="preserve">Desirable - </w:t>
            </w:r>
            <w:bookmarkStart w:id="0" w:name="_GoBack"/>
            <w:bookmarkEnd w:id="0"/>
            <w:r>
              <w:rPr>
                <w:rFonts w:cstheme="minorHAnsi"/>
              </w:rPr>
              <w:t>You are likely to be able to demonstrate r</w:t>
            </w:r>
            <w:r w:rsidRPr="00DE4BA5">
              <w:rPr>
                <w:rFonts w:cstheme="minorHAnsi"/>
              </w:rPr>
              <w:t xml:space="preserve">elevant evidence of seeking to </w:t>
            </w:r>
            <w:r>
              <w:rPr>
                <w:rFonts w:cstheme="minorHAnsi"/>
              </w:rPr>
              <w:t>improve</w:t>
            </w:r>
            <w:r w:rsidRPr="00DE4BA5">
              <w:rPr>
                <w:rFonts w:cstheme="minorHAnsi"/>
              </w:rPr>
              <w:t xml:space="preserve"> your understanding and skill level</w:t>
            </w:r>
          </w:p>
        </w:tc>
      </w:tr>
      <w:tr w:rsidR="00AA75B5">
        <w:trPr>
          <w:trHeight w:val="484"/>
        </w:trPr>
        <w:tc>
          <w:tcPr>
            <w:tcW w:w="3273" w:type="dxa"/>
          </w:tcPr>
          <w:p w:rsidR="00AA75B5" w:rsidRDefault="00AA75B5" w:rsidP="00AA75B5">
            <w:pPr>
              <w:rPr>
                <w:rFonts w:cstheme="minorHAnsi"/>
                <w:b/>
              </w:rPr>
            </w:pPr>
            <w:r>
              <w:rPr>
                <w:rFonts w:cstheme="minorHAnsi"/>
                <w:b/>
              </w:rPr>
              <w:t>Adaptability</w:t>
            </w:r>
          </w:p>
        </w:tc>
        <w:tc>
          <w:tcPr>
            <w:tcW w:w="6644" w:type="dxa"/>
          </w:tcPr>
          <w:p w:rsidR="00AA75B5" w:rsidRDefault="00AA75B5" w:rsidP="00AA75B5">
            <w:pPr>
              <w:rPr>
                <w:rFonts w:cstheme="minorHAnsi"/>
              </w:rPr>
            </w:pPr>
            <w:r>
              <w:rPr>
                <w:rFonts w:cstheme="minorHAnsi"/>
              </w:rPr>
              <w:t>The willingness to operate outside of your comfort zone for the benefit of all. The willingness to ‘go the extra mile.’</w:t>
            </w:r>
          </w:p>
        </w:tc>
      </w:tr>
      <w:tr w:rsidR="00AA75B5">
        <w:trPr>
          <w:trHeight w:val="458"/>
        </w:trPr>
        <w:tc>
          <w:tcPr>
            <w:tcW w:w="3273" w:type="dxa"/>
          </w:tcPr>
          <w:p w:rsidR="00AA75B5" w:rsidRDefault="00AA75B5" w:rsidP="00AA75B5">
            <w:pPr>
              <w:rPr>
                <w:rFonts w:cstheme="minorHAnsi"/>
                <w:b/>
              </w:rPr>
            </w:pPr>
            <w:r>
              <w:rPr>
                <w:rFonts w:cstheme="minorHAnsi"/>
                <w:b/>
              </w:rPr>
              <w:t>Resilience</w:t>
            </w:r>
          </w:p>
        </w:tc>
        <w:tc>
          <w:tcPr>
            <w:tcW w:w="6644" w:type="dxa"/>
          </w:tcPr>
          <w:p w:rsidR="00AA75B5" w:rsidRDefault="00AA75B5" w:rsidP="00AA75B5">
            <w:pPr>
              <w:rPr>
                <w:rFonts w:cstheme="minorHAnsi"/>
              </w:rPr>
            </w:pPr>
            <w:r>
              <w:rPr>
                <w:rFonts w:cstheme="minorHAnsi"/>
              </w:rPr>
              <w:t>The ability to maintain a positive outlook and to not be knocked off course, even if circumstances are particularly trying!</w:t>
            </w:r>
          </w:p>
        </w:tc>
      </w:tr>
      <w:tr w:rsidR="00AA75B5">
        <w:trPr>
          <w:trHeight w:val="458"/>
        </w:trPr>
        <w:tc>
          <w:tcPr>
            <w:tcW w:w="3273" w:type="dxa"/>
          </w:tcPr>
          <w:p w:rsidR="00AA75B5" w:rsidRDefault="00AA75B5" w:rsidP="00AA75B5">
            <w:pPr>
              <w:rPr>
                <w:rFonts w:cstheme="minorHAnsi"/>
                <w:b/>
              </w:rPr>
            </w:pPr>
            <w:r>
              <w:rPr>
                <w:rFonts w:cstheme="minorHAnsi"/>
                <w:b/>
              </w:rPr>
              <w:t>Reflective</w:t>
            </w:r>
          </w:p>
        </w:tc>
        <w:tc>
          <w:tcPr>
            <w:tcW w:w="6644" w:type="dxa"/>
          </w:tcPr>
          <w:p w:rsidR="00AA75B5" w:rsidRDefault="00AA75B5" w:rsidP="00AA75B5">
            <w:pPr>
              <w:rPr>
                <w:rFonts w:cstheme="minorHAnsi"/>
              </w:rPr>
            </w:pPr>
            <w:r>
              <w:rPr>
                <w:rFonts w:cstheme="minorHAnsi"/>
              </w:rPr>
              <w:t>The ability to continually consider how to improve your practice. We operate in a culture that seeks to look to ourselves and to adapt our own practice when something goes wrong.</w:t>
            </w:r>
          </w:p>
        </w:tc>
      </w:tr>
      <w:tr w:rsidR="00AA75B5">
        <w:trPr>
          <w:trHeight w:val="484"/>
        </w:trPr>
        <w:tc>
          <w:tcPr>
            <w:tcW w:w="3273" w:type="dxa"/>
          </w:tcPr>
          <w:p w:rsidR="00AA75B5" w:rsidRDefault="00AA75B5" w:rsidP="00AA75B5">
            <w:pPr>
              <w:rPr>
                <w:rFonts w:cstheme="minorHAnsi"/>
                <w:b/>
              </w:rPr>
            </w:pPr>
            <w:r>
              <w:rPr>
                <w:rFonts w:cstheme="minorHAnsi"/>
                <w:b/>
              </w:rPr>
              <w:t>Judgement</w:t>
            </w:r>
          </w:p>
        </w:tc>
        <w:tc>
          <w:tcPr>
            <w:tcW w:w="6644" w:type="dxa"/>
          </w:tcPr>
          <w:p w:rsidR="00AA75B5" w:rsidRDefault="00AA75B5" w:rsidP="00AA75B5">
            <w:pPr>
              <w:rPr>
                <w:rFonts w:cstheme="minorHAnsi"/>
              </w:rPr>
            </w:pPr>
            <w:r>
              <w:rPr>
                <w:rFonts w:cstheme="minorHAnsi"/>
              </w:rPr>
              <w:t xml:space="preserve">The ability to read nuance and make reasoned, fair, consistent and morally based judgements based on all of the available information. </w:t>
            </w:r>
          </w:p>
        </w:tc>
      </w:tr>
      <w:tr w:rsidR="00AA75B5">
        <w:trPr>
          <w:trHeight w:val="484"/>
        </w:trPr>
        <w:tc>
          <w:tcPr>
            <w:tcW w:w="3273" w:type="dxa"/>
          </w:tcPr>
          <w:p w:rsidR="00AA75B5" w:rsidRDefault="00AA75B5" w:rsidP="00AA75B5">
            <w:pPr>
              <w:rPr>
                <w:rFonts w:cstheme="minorHAnsi"/>
                <w:b/>
              </w:rPr>
            </w:pPr>
            <w:r>
              <w:rPr>
                <w:rFonts w:cstheme="minorHAnsi"/>
                <w:b/>
              </w:rPr>
              <w:t>Accountability</w:t>
            </w:r>
          </w:p>
        </w:tc>
        <w:tc>
          <w:tcPr>
            <w:tcW w:w="6644" w:type="dxa"/>
          </w:tcPr>
          <w:p w:rsidR="00AA75B5" w:rsidRDefault="00AA75B5" w:rsidP="00AA75B5">
            <w:pPr>
              <w:rPr>
                <w:rFonts w:cstheme="minorHAnsi"/>
              </w:rPr>
            </w:pPr>
            <w:r>
              <w:rPr>
                <w:rFonts w:cstheme="minorHAnsi"/>
              </w:rPr>
              <w:t xml:space="preserve">The desire to want to </w:t>
            </w:r>
            <w:r>
              <w:rPr>
                <w:rFonts w:cstheme="minorHAnsi"/>
                <w:i/>
              </w:rPr>
              <w:t>hold yourself</w:t>
            </w:r>
            <w:r>
              <w:rPr>
                <w:rFonts w:cstheme="minorHAnsi"/>
              </w:rPr>
              <w:t xml:space="preserve"> to account for the very best results</w:t>
            </w:r>
          </w:p>
        </w:tc>
      </w:tr>
      <w:tr w:rsidR="00AA75B5">
        <w:trPr>
          <w:trHeight w:val="458"/>
        </w:trPr>
        <w:tc>
          <w:tcPr>
            <w:tcW w:w="3273" w:type="dxa"/>
          </w:tcPr>
          <w:p w:rsidR="00AA75B5" w:rsidRDefault="00AA75B5" w:rsidP="00AA75B5">
            <w:pPr>
              <w:rPr>
                <w:rFonts w:cstheme="minorHAnsi"/>
                <w:b/>
              </w:rPr>
            </w:pPr>
            <w:r>
              <w:rPr>
                <w:rFonts w:cstheme="minorHAnsi"/>
                <w:b/>
              </w:rPr>
              <w:t>Sense of Humour</w:t>
            </w:r>
          </w:p>
        </w:tc>
        <w:tc>
          <w:tcPr>
            <w:tcW w:w="6644" w:type="dxa"/>
          </w:tcPr>
          <w:p w:rsidR="00AA75B5" w:rsidRDefault="00AA75B5" w:rsidP="00AA75B5">
            <w:pPr>
              <w:rPr>
                <w:rFonts w:cstheme="minorHAnsi"/>
              </w:rPr>
            </w:pPr>
            <w:r>
              <w:rPr>
                <w:rFonts w:cstheme="minorHAnsi"/>
              </w:rPr>
              <w:t>To be able to smile and support colleagues in a cheery manner, even when you may not feel like it! We enjoy working with colleagues who bring levity to the staffroom.</w:t>
            </w:r>
          </w:p>
        </w:tc>
      </w:tr>
      <w:tr w:rsidR="00AA75B5">
        <w:trPr>
          <w:trHeight w:val="484"/>
        </w:trPr>
        <w:tc>
          <w:tcPr>
            <w:tcW w:w="3273" w:type="dxa"/>
          </w:tcPr>
          <w:p w:rsidR="00AA75B5" w:rsidRDefault="00AA75B5" w:rsidP="00AA75B5">
            <w:pPr>
              <w:rPr>
                <w:rFonts w:cstheme="minorHAnsi"/>
                <w:b/>
              </w:rPr>
            </w:pPr>
            <w:r>
              <w:rPr>
                <w:rFonts w:cstheme="minorHAnsi"/>
                <w:b/>
              </w:rPr>
              <w:t>Intellect</w:t>
            </w:r>
          </w:p>
        </w:tc>
        <w:tc>
          <w:tcPr>
            <w:tcW w:w="6644" w:type="dxa"/>
          </w:tcPr>
          <w:p w:rsidR="00AA75B5" w:rsidRDefault="00AA75B5" w:rsidP="00AA75B5">
            <w:pPr>
              <w:rPr>
                <w:rFonts w:cstheme="minorHAnsi"/>
              </w:rPr>
            </w:pPr>
            <w:r>
              <w:rPr>
                <w:rFonts w:cstheme="minorHAnsi"/>
              </w:rPr>
              <w:t xml:space="preserve">A keen and broad sense of knowledge and culture </w:t>
            </w:r>
          </w:p>
        </w:tc>
      </w:tr>
      <w:tr w:rsidR="00AA75B5">
        <w:trPr>
          <w:trHeight w:val="458"/>
        </w:trPr>
        <w:tc>
          <w:tcPr>
            <w:tcW w:w="3273" w:type="dxa"/>
          </w:tcPr>
          <w:p w:rsidR="00AA75B5" w:rsidRDefault="00AA75B5" w:rsidP="00AA75B5">
            <w:pPr>
              <w:rPr>
                <w:rFonts w:cstheme="minorHAnsi"/>
                <w:b/>
              </w:rPr>
            </w:pPr>
            <w:r>
              <w:rPr>
                <w:rFonts w:cstheme="minorHAnsi"/>
                <w:b/>
              </w:rPr>
              <w:t>Flexibility</w:t>
            </w:r>
          </w:p>
        </w:tc>
        <w:tc>
          <w:tcPr>
            <w:tcW w:w="6644" w:type="dxa"/>
          </w:tcPr>
          <w:p w:rsidR="00AA75B5" w:rsidRDefault="00AA75B5" w:rsidP="00AA75B5">
            <w:pPr>
              <w:rPr>
                <w:rFonts w:cstheme="minorHAnsi"/>
              </w:rPr>
            </w:pPr>
            <w:r>
              <w:rPr>
                <w:rFonts w:cstheme="minorHAnsi"/>
              </w:rPr>
              <w:t>The ability and willingness to take an alternative path when it may not be your first choice</w:t>
            </w:r>
          </w:p>
        </w:tc>
      </w:tr>
      <w:tr w:rsidR="00AA75B5">
        <w:trPr>
          <w:trHeight w:val="484"/>
        </w:trPr>
        <w:tc>
          <w:tcPr>
            <w:tcW w:w="3273" w:type="dxa"/>
          </w:tcPr>
          <w:p w:rsidR="00AA75B5" w:rsidRDefault="00AA75B5" w:rsidP="00AA75B5">
            <w:pPr>
              <w:rPr>
                <w:rFonts w:cstheme="minorHAnsi"/>
                <w:b/>
              </w:rPr>
            </w:pPr>
            <w:r>
              <w:rPr>
                <w:rFonts w:cstheme="minorHAnsi"/>
                <w:b/>
              </w:rPr>
              <w:t>Calm</w:t>
            </w:r>
          </w:p>
        </w:tc>
        <w:tc>
          <w:tcPr>
            <w:tcW w:w="6644" w:type="dxa"/>
          </w:tcPr>
          <w:p w:rsidR="00AA75B5" w:rsidRDefault="00AA75B5" w:rsidP="00AA75B5">
            <w:pPr>
              <w:rPr>
                <w:rFonts w:cstheme="minorHAnsi"/>
              </w:rPr>
            </w:pPr>
            <w:r>
              <w:rPr>
                <w:rFonts w:cstheme="minorHAnsi"/>
              </w:rPr>
              <w:t>The ability to demonstrate empathy and to be sensitive, but to be able to manage your emotions such that you continue to have a steadying positive impact on others.</w:t>
            </w:r>
          </w:p>
        </w:tc>
      </w:tr>
      <w:tr w:rsidR="00AA75B5">
        <w:trPr>
          <w:trHeight w:val="458"/>
        </w:trPr>
        <w:tc>
          <w:tcPr>
            <w:tcW w:w="3273" w:type="dxa"/>
          </w:tcPr>
          <w:p w:rsidR="00AA75B5" w:rsidRDefault="00AA75B5" w:rsidP="00AA75B5">
            <w:pPr>
              <w:rPr>
                <w:rFonts w:cstheme="minorHAnsi"/>
                <w:b/>
              </w:rPr>
            </w:pPr>
            <w:r>
              <w:rPr>
                <w:rFonts w:cstheme="minorHAnsi"/>
                <w:b/>
              </w:rPr>
              <w:t>Industrious</w:t>
            </w:r>
          </w:p>
        </w:tc>
        <w:tc>
          <w:tcPr>
            <w:tcW w:w="6644" w:type="dxa"/>
          </w:tcPr>
          <w:p w:rsidR="00AA75B5" w:rsidRDefault="00AA75B5" w:rsidP="00AA75B5">
            <w:pPr>
              <w:rPr>
                <w:rFonts w:cstheme="minorHAnsi"/>
              </w:rPr>
            </w:pPr>
            <w:r>
              <w:rPr>
                <w:rFonts w:cstheme="minorHAnsi"/>
              </w:rPr>
              <w:t>A hard worker, a self-starter</w:t>
            </w:r>
          </w:p>
        </w:tc>
      </w:tr>
      <w:tr w:rsidR="00AA75B5">
        <w:trPr>
          <w:trHeight w:val="484"/>
        </w:trPr>
        <w:tc>
          <w:tcPr>
            <w:tcW w:w="3273" w:type="dxa"/>
          </w:tcPr>
          <w:p w:rsidR="00AA75B5" w:rsidRDefault="00AA75B5" w:rsidP="00AA75B5">
            <w:pPr>
              <w:rPr>
                <w:rFonts w:cstheme="minorHAnsi"/>
                <w:b/>
              </w:rPr>
            </w:pPr>
            <w:r>
              <w:rPr>
                <w:rFonts w:cstheme="minorHAnsi"/>
                <w:b/>
              </w:rPr>
              <w:t>Initiative</w:t>
            </w:r>
          </w:p>
        </w:tc>
        <w:tc>
          <w:tcPr>
            <w:tcW w:w="6644" w:type="dxa"/>
          </w:tcPr>
          <w:p w:rsidR="00AA75B5" w:rsidRDefault="00AA75B5" w:rsidP="00AA75B5">
            <w:pPr>
              <w:rPr>
                <w:rFonts w:cstheme="minorHAnsi"/>
              </w:rPr>
            </w:pPr>
            <w:r>
              <w:rPr>
                <w:rFonts w:cstheme="minorHAnsi"/>
              </w:rPr>
              <w:t>Producing solutions to problems prior to them being identified as problems</w:t>
            </w:r>
          </w:p>
        </w:tc>
      </w:tr>
      <w:tr w:rsidR="00AA75B5">
        <w:trPr>
          <w:trHeight w:val="484"/>
        </w:trPr>
        <w:tc>
          <w:tcPr>
            <w:tcW w:w="3273" w:type="dxa"/>
          </w:tcPr>
          <w:p w:rsidR="00AA75B5" w:rsidRDefault="00AA75B5" w:rsidP="00AA75B5">
            <w:pPr>
              <w:rPr>
                <w:rFonts w:cstheme="minorHAnsi"/>
                <w:b/>
              </w:rPr>
            </w:pPr>
            <w:r>
              <w:rPr>
                <w:rFonts w:cstheme="minorHAnsi"/>
                <w:b/>
              </w:rPr>
              <w:t>Solutions focussed</w:t>
            </w:r>
          </w:p>
        </w:tc>
        <w:tc>
          <w:tcPr>
            <w:tcW w:w="6644" w:type="dxa"/>
          </w:tcPr>
          <w:p w:rsidR="00AA75B5" w:rsidRDefault="00AA75B5" w:rsidP="00AA75B5">
            <w:pPr>
              <w:rPr>
                <w:rFonts w:cstheme="minorHAnsi"/>
              </w:rPr>
            </w:pPr>
            <w:r>
              <w:rPr>
                <w:rFonts w:cstheme="minorHAnsi"/>
              </w:rPr>
              <w:t>Always, always having a suggestion as to the next way forward.</w:t>
            </w:r>
          </w:p>
        </w:tc>
      </w:tr>
      <w:tr w:rsidR="00AA75B5">
        <w:trPr>
          <w:trHeight w:val="458"/>
        </w:trPr>
        <w:tc>
          <w:tcPr>
            <w:tcW w:w="3273" w:type="dxa"/>
          </w:tcPr>
          <w:p w:rsidR="00AA75B5" w:rsidRDefault="00AA75B5" w:rsidP="00AA75B5">
            <w:pPr>
              <w:rPr>
                <w:b/>
              </w:rPr>
            </w:pPr>
            <w:r>
              <w:rPr>
                <w:b/>
              </w:rPr>
              <w:t>Highly skilled</w:t>
            </w:r>
          </w:p>
        </w:tc>
        <w:tc>
          <w:tcPr>
            <w:tcW w:w="6644" w:type="dxa"/>
          </w:tcPr>
          <w:p w:rsidR="00AA75B5" w:rsidRDefault="00AA75B5" w:rsidP="00AA75B5">
            <w:r>
              <w:t>It will be accepted amongst your colleagues that you are among the very best at what you do</w:t>
            </w:r>
          </w:p>
        </w:tc>
      </w:tr>
      <w:tr w:rsidR="00AA75B5">
        <w:trPr>
          <w:trHeight w:val="682"/>
        </w:trPr>
        <w:tc>
          <w:tcPr>
            <w:tcW w:w="3273" w:type="dxa"/>
          </w:tcPr>
          <w:p w:rsidR="00AA75B5" w:rsidRDefault="00AA75B5" w:rsidP="00AA75B5">
            <w:pPr>
              <w:rPr>
                <w:b/>
              </w:rPr>
            </w:pPr>
            <w:r>
              <w:rPr>
                <w:b/>
              </w:rPr>
              <w:t>Excellent communicator (spoken and written)</w:t>
            </w:r>
          </w:p>
        </w:tc>
        <w:tc>
          <w:tcPr>
            <w:tcW w:w="6644" w:type="dxa"/>
          </w:tcPr>
          <w:p w:rsidR="00AA75B5" w:rsidRDefault="00AA75B5" w:rsidP="00AA75B5">
            <w:r>
              <w:t>The ability to write fluently and intelligently, demonstrating a mastery of the conventions of spelling, punctuation and grammar. The ability to speak and present confidently, winning others over in an engaging and personable manner.</w:t>
            </w:r>
          </w:p>
        </w:tc>
      </w:tr>
      <w:tr w:rsidR="00AA75B5">
        <w:trPr>
          <w:trHeight w:val="484"/>
        </w:trPr>
        <w:tc>
          <w:tcPr>
            <w:tcW w:w="3273" w:type="dxa"/>
          </w:tcPr>
          <w:p w:rsidR="00AA75B5" w:rsidRDefault="00AA75B5" w:rsidP="00AA75B5">
            <w:pPr>
              <w:rPr>
                <w:b/>
              </w:rPr>
            </w:pPr>
            <w:r>
              <w:rPr>
                <w:b/>
              </w:rPr>
              <w:t>Collaborator</w:t>
            </w:r>
          </w:p>
        </w:tc>
        <w:tc>
          <w:tcPr>
            <w:tcW w:w="6644" w:type="dxa"/>
          </w:tcPr>
          <w:p w:rsidR="00AA75B5" w:rsidRDefault="00AA75B5" w:rsidP="00AA75B5">
            <w:r>
              <w:t>You will enjoy working with others, sharing best practice to achieve the very best results for our students.</w:t>
            </w:r>
          </w:p>
        </w:tc>
      </w:tr>
      <w:tr w:rsidR="00AA75B5">
        <w:trPr>
          <w:trHeight w:val="484"/>
        </w:trPr>
        <w:tc>
          <w:tcPr>
            <w:tcW w:w="3273" w:type="dxa"/>
          </w:tcPr>
          <w:p w:rsidR="00AA75B5" w:rsidRDefault="00AA75B5" w:rsidP="00AA75B5">
            <w:pPr>
              <w:rPr>
                <w:b/>
              </w:rPr>
            </w:pPr>
            <w:r>
              <w:rPr>
                <w:b/>
              </w:rPr>
              <w:t>Team Player</w:t>
            </w:r>
          </w:p>
        </w:tc>
        <w:tc>
          <w:tcPr>
            <w:tcW w:w="6644" w:type="dxa"/>
          </w:tcPr>
          <w:p w:rsidR="00AA75B5" w:rsidRDefault="00AA75B5" w:rsidP="00AA75B5">
            <w:r>
              <w:t>You will be recognised as the first person who quietly steps in to help.</w:t>
            </w:r>
          </w:p>
        </w:tc>
      </w:tr>
      <w:tr w:rsidR="00AA75B5">
        <w:trPr>
          <w:trHeight w:val="484"/>
        </w:trPr>
        <w:tc>
          <w:tcPr>
            <w:tcW w:w="3273" w:type="dxa"/>
          </w:tcPr>
          <w:p w:rsidR="00AA75B5" w:rsidRDefault="00AA75B5" w:rsidP="00AA75B5">
            <w:pPr>
              <w:rPr>
                <w:b/>
              </w:rPr>
            </w:pPr>
            <w:r>
              <w:rPr>
                <w:b/>
              </w:rPr>
              <w:t>Confidence</w:t>
            </w:r>
          </w:p>
        </w:tc>
        <w:tc>
          <w:tcPr>
            <w:tcW w:w="6644" w:type="dxa"/>
          </w:tcPr>
          <w:p w:rsidR="00AA75B5" w:rsidRDefault="00AA75B5" w:rsidP="00AA75B5">
            <w:r>
              <w:t>You will have a self-belief that enables you to repeatedly deliver in what is a ‘performance’ role</w:t>
            </w:r>
          </w:p>
        </w:tc>
      </w:tr>
    </w:tbl>
    <w:p w:rsidR="00C81279" w:rsidRDefault="00C81279">
      <w:pPr>
        <w:rPr>
          <w:sz w:val="20"/>
          <w:szCs w:val="20"/>
        </w:rPr>
      </w:pPr>
    </w:p>
    <w:sectPr w:rsidR="00C81279" w:rsidSect="00AA75B5">
      <w:pgSz w:w="11906" w:h="16838"/>
      <w:pgMar w:top="709" w:right="1440"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5189"/>
    <w:multiLevelType w:val="hybridMultilevel"/>
    <w:tmpl w:val="18EC77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94056D9"/>
    <w:multiLevelType w:val="hybridMultilevel"/>
    <w:tmpl w:val="2CFE93DC"/>
    <w:lvl w:ilvl="0" w:tplc="0809000F">
      <w:start w:val="1"/>
      <w:numFmt w:val="decimal"/>
      <w:lvlText w:val="%1."/>
      <w:lvlJc w:val="left"/>
      <w:pPr>
        <w:tabs>
          <w:tab w:val="num" w:pos="644"/>
        </w:tabs>
        <w:ind w:left="644"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C15031"/>
    <w:multiLevelType w:val="hybridMultilevel"/>
    <w:tmpl w:val="695EDA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56A1B1F"/>
    <w:multiLevelType w:val="hybridMultilevel"/>
    <w:tmpl w:val="75AE2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854F81"/>
    <w:multiLevelType w:val="hybridMultilevel"/>
    <w:tmpl w:val="7D72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41E0"/>
    <w:multiLevelType w:val="hybridMultilevel"/>
    <w:tmpl w:val="EE363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AC7352"/>
    <w:multiLevelType w:val="hybridMultilevel"/>
    <w:tmpl w:val="CAAEE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B8759A"/>
    <w:multiLevelType w:val="hybridMultilevel"/>
    <w:tmpl w:val="CFAEF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BF7B86"/>
    <w:multiLevelType w:val="hybridMultilevel"/>
    <w:tmpl w:val="23C4764E"/>
    <w:lvl w:ilvl="0" w:tplc="F64414AC">
      <w:start w:val="1"/>
      <w:numFmt w:val="bullet"/>
      <w:lvlText w:val=""/>
      <w:lvlJc w:val="left"/>
      <w:pPr>
        <w:ind w:left="720" w:hanging="360"/>
      </w:pPr>
      <w:rPr>
        <w:rFonts w:ascii="Symbol" w:hAnsi="Symbol"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9" w15:restartNumberingAfterBreak="0">
    <w:nsid w:val="73265CA6"/>
    <w:multiLevelType w:val="hybridMultilevel"/>
    <w:tmpl w:val="217C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E45A74"/>
    <w:multiLevelType w:val="hybridMultilevel"/>
    <w:tmpl w:val="C0CE0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2"/>
  </w:num>
  <w:num w:numId="4">
    <w:abstractNumId w:val="9"/>
  </w:num>
  <w:num w:numId="5">
    <w:abstractNumId w:val="4"/>
  </w:num>
  <w:num w:numId="6">
    <w:abstractNumId w:val="0"/>
  </w:num>
  <w:num w:numId="7">
    <w:abstractNumId w:val="3"/>
  </w:num>
  <w:num w:numId="8">
    <w:abstractNumId w:val="5"/>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79"/>
    <w:rsid w:val="004C0A7B"/>
    <w:rsid w:val="00812152"/>
    <w:rsid w:val="00A1086C"/>
    <w:rsid w:val="00AA75B5"/>
    <w:rsid w:val="00C81279"/>
    <w:rsid w:val="00CF2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CF6B"/>
  <w15:chartTrackingRefBased/>
  <w15:docId w15:val="{F4479A62-C570-406C-9375-EAAC5BFB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0" w:line="240" w:lineRule="auto"/>
      <w:ind w:left="720"/>
    </w:pPr>
    <w:rPr>
      <w:rFonts w:ascii="Cambria" w:eastAsia="MS ??" w:hAnsi="Cambria" w:cs="Cambria"/>
      <w:sz w:val="24"/>
      <w:szCs w:val="24"/>
      <w:lang w:val="en-US"/>
    </w:rPr>
  </w:style>
  <w:style w:type="paragraph" w:customStyle="1" w:styleId="Pa0">
    <w:name w:val="Pa0"/>
    <w:basedOn w:val="Normal"/>
    <w:next w:val="Normal"/>
    <w:uiPriority w:val="99"/>
    <w:pPr>
      <w:autoSpaceDE w:val="0"/>
      <w:autoSpaceDN w:val="0"/>
      <w:adjustRightInd w:val="0"/>
      <w:spacing w:after="0" w:line="241" w:lineRule="atLeast"/>
    </w:pPr>
    <w:rPr>
      <w:rFonts w:ascii="Century Gothic" w:eastAsia="MS ??" w:hAnsi="Century Gothic" w:cs="Century Gothic"/>
      <w:sz w:val="24"/>
      <w:szCs w:val="24"/>
      <w:lang w:val="en-US"/>
    </w:rPr>
  </w:style>
  <w:style w:type="character" w:styleId="Hyperlink">
    <w:name w:val="Hyperlink"/>
    <w:basedOn w:val="DefaultParagraphFont"/>
    <w:uiPriority w:val="99"/>
    <w:rPr>
      <w:color w:val="0000FF"/>
      <w:u w:val="single"/>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 it</dc:creator>
  <cp:keywords/>
  <dc:description/>
  <cp:lastModifiedBy>Paul Green</cp:lastModifiedBy>
  <cp:revision>6</cp:revision>
  <dcterms:created xsi:type="dcterms:W3CDTF">2024-03-12T14:07:00Z</dcterms:created>
  <dcterms:modified xsi:type="dcterms:W3CDTF">2024-08-21T13:14:00Z</dcterms:modified>
</cp:coreProperties>
</file>