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70A4" w14:textId="77777777" w:rsidR="003F3236" w:rsidRPr="00E46D70" w:rsidRDefault="003A0F1D" w:rsidP="003F3236">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F3236">
        <w:rPr>
          <w:rFonts w:asciiTheme="majorHAnsi" w:hAnsiTheme="majorHAnsi" w:cstheme="majorHAnsi"/>
          <w:b/>
          <w:color w:val="002060"/>
          <w:sz w:val="36"/>
          <w:szCs w:val="36"/>
        </w:rPr>
        <w:t>Midday Supervisor</w:t>
      </w:r>
    </w:p>
    <w:p w14:paraId="52A33E79" w14:textId="28378560"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B728DE2" w:rsidR="003A0F1D" w:rsidRPr="00A71B1A" w:rsidRDefault="00BA0E9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Primary School</w:t>
            </w:r>
          </w:p>
        </w:tc>
      </w:tr>
      <w:tr w:rsidR="00425881" w:rsidRPr="00A71B1A" w14:paraId="68727D48" w14:textId="77777777" w:rsidTr="00CE27FC">
        <w:trPr>
          <w:trHeight w:val="220"/>
        </w:trPr>
        <w:tc>
          <w:tcPr>
            <w:tcW w:w="1985" w:type="dxa"/>
          </w:tcPr>
          <w:p w14:paraId="2C5531D6" w14:textId="77777777" w:rsidR="00425881" w:rsidRPr="002C0936" w:rsidRDefault="00425881" w:rsidP="00425881">
            <w:pPr>
              <w:spacing w:after="0" w:line="240" w:lineRule="auto"/>
              <w:ind w:left="0" w:firstLine="0"/>
              <w:rPr>
                <w:rFonts w:asciiTheme="majorHAnsi" w:hAnsiTheme="majorHAnsi" w:cstheme="majorHAnsi"/>
                <w:b/>
                <w:color w:val="002060"/>
              </w:rPr>
            </w:pPr>
            <w:r w:rsidRPr="002C0936">
              <w:rPr>
                <w:rFonts w:asciiTheme="majorHAnsi" w:hAnsiTheme="majorHAnsi" w:cstheme="majorHAnsi"/>
                <w:b/>
                <w:color w:val="002060"/>
              </w:rPr>
              <w:t xml:space="preserve"> Post type:</w:t>
            </w:r>
          </w:p>
        </w:tc>
        <w:tc>
          <w:tcPr>
            <w:tcW w:w="7933" w:type="dxa"/>
          </w:tcPr>
          <w:p w14:paraId="5B65B8E1" w14:textId="6196A06B" w:rsidR="00425881" w:rsidRPr="002C0936" w:rsidRDefault="00425881" w:rsidP="00AA6483">
            <w:pPr>
              <w:spacing w:after="0" w:line="240" w:lineRule="auto"/>
              <w:ind w:right="400"/>
              <w:rPr>
                <w:rFonts w:asciiTheme="majorHAnsi" w:hAnsiTheme="majorHAnsi" w:cstheme="majorHAnsi"/>
                <w:color w:val="002060"/>
              </w:rPr>
            </w:pPr>
            <w:r w:rsidRPr="002C0936">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2C0936" w:rsidRDefault="003A0F1D" w:rsidP="00AA6483">
            <w:pPr>
              <w:spacing w:after="0" w:line="240" w:lineRule="auto"/>
              <w:ind w:left="67"/>
              <w:rPr>
                <w:rFonts w:asciiTheme="majorHAnsi" w:hAnsiTheme="majorHAnsi" w:cstheme="majorHAnsi"/>
                <w:color w:val="002060"/>
              </w:rPr>
            </w:pPr>
            <w:r w:rsidRPr="002C0936">
              <w:rPr>
                <w:rFonts w:asciiTheme="majorHAnsi" w:hAnsiTheme="majorHAnsi" w:cstheme="majorHAnsi"/>
                <w:b/>
                <w:color w:val="002060"/>
              </w:rPr>
              <w:t>Grade</w:t>
            </w:r>
            <w:r w:rsidR="00425881" w:rsidRPr="002C0936">
              <w:rPr>
                <w:rFonts w:asciiTheme="majorHAnsi" w:hAnsiTheme="majorHAnsi" w:cstheme="majorHAnsi"/>
                <w:b/>
                <w:color w:val="002060"/>
              </w:rPr>
              <w:t>/Pay Level</w:t>
            </w:r>
            <w:r w:rsidRPr="002C0936">
              <w:rPr>
                <w:rFonts w:asciiTheme="majorHAnsi" w:hAnsiTheme="majorHAnsi" w:cstheme="majorHAnsi"/>
                <w:b/>
                <w:color w:val="002060"/>
              </w:rPr>
              <w:t xml:space="preserve">: </w:t>
            </w:r>
          </w:p>
        </w:tc>
        <w:tc>
          <w:tcPr>
            <w:tcW w:w="7933" w:type="dxa"/>
          </w:tcPr>
          <w:p w14:paraId="435E7F52" w14:textId="2DF08AF7" w:rsidR="003A0F1D" w:rsidRPr="002C0936" w:rsidRDefault="00425881" w:rsidP="00AA6483">
            <w:pPr>
              <w:spacing w:after="0" w:line="240" w:lineRule="auto"/>
              <w:ind w:right="400"/>
              <w:rPr>
                <w:rFonts w:asciiTheme="majorHAnsi" w:hAnsiTheme="majorHAnsi" w:cstheme="majorHAnsi"/>
                <w:color w:val="002060"/>
              </w:rPr>
            </w:pPr>
            <w:r w:rsidRPr="002C0936">
              <w:rPr>
                <w:rFonts w:asciiTheme="majorHAnsi" w:hAnsiTheme="majorHAnsi" w:cstheme="majorHAnsi"/>
                <w:color w:val="002060"/>
              </w:rPr>
              <w:t xml:space="preserve">Grade </w:t>
            </w:r>
            <w:r w:rsidR="002C0936" w:rsidRPr="002C0936">
              <w:rPr>
                <w:rFonts w:asciiTheme="majorHAnsi" w:hAnsiTheme="majorHAnsi" w:cstheme="majorHAnsi"/>
                <w:color w:val="002060"/>
              </w:rPr>
              <w:t>1</w:t>
            </w:r>
            <w:r w:rsidRPr="002C0936">
              <w:rPr>
                <w:rFonts w:asciiTheme="majorHAnsi" w:hAnsiTheme="majorHAnsi" w:cstheme="majorHAnsi"/>
                <w:color w:val="002060"/>
              </w:rPr>
              <w:t xml:space="preserve"> </w:t>
            </w:r>
          </w:p>
        </w:tc>
      </w:tr>
      <w:tr w:rsidR="003A0F1D" w:rsidRPr="00A71B1A" w14:paraId="10FD0053" w14:textId="77777777" w:rsidTr="00CE27FC">
        <w:trPr>
          <w:trHeight w:val="220"/>
        </w:trPr>
        <w:tc>
          <w:tcPr>
            <w:tcW w:w="1985" w:type="dxa"/>
          </w:tcPr>
          <w:p w14:paraId="19F44E93" w14:textId="77777777" w:rsidR="003A0F1D" w:rsidRPr="002C0936" w:rsidRDefault="003A0F1D" w:rsidP="00AA6483">
            <w:pPr>
              <w:spacing w:after="0" w:line="240" w:lineRule="auto"/>
              <w:ind w:left="67"/>
              <w:rPr>
                <w:rFonts w:asciiTheme="majorHAnsi" w:hAnsiTheme="majorHAnsi" w:cstheme="majorHAnsi"/>
                <w:b/>
                <w:color w:val="002060"/>
              </w:rPr>
            </w:pPr>
            <w:r w:rsidRPr="002C0936">
              <w:rPr>
                <w:rFonts w:asciiTheme="majorHAnsi" w:hAnsiTheme="majorHAnsi" w:cstheme="majorHAnsi"/>
                <w:b/>
                <w:color w:val="002060"/>
              </w:rPr>
              <w:t>Weeks per year:</w:t>
            </w:r>
          </w:p>
        </w:tc>
        <w:tc>
          <w:tcPr>
            <w:tcW w:w="7933" w:type="dxa"/>
          </w:tcPr>
          <w:p w14:paraId="4C771F6A" w14:textId="54EED371" w:rsidR="003A0F1D" w:rsidRPr="002C0936" w:rsidRDefault="00450F45" w:rsidP="00FB350D">
            <w:pPr>
              <w:spacing w:after="0" w:line="240" w:lineRule="auto"/>
              <w:ind w:right="400"/>
              <w:rPr>
                <w:rFonts w:asciiTheme="majorHAnsi" w:hAnsiTheme="majorHAnsi" w:cstheme="majorHAnsi"/>
                <w:color w:val="002060"/>
              </w:rPr>
            </w:pPr>
            <w:r w:rsidRPr="002C0936">
              <w:rPr>
                <w:rFonts w:asciiTheme="majorHAnsi" w:hAnsiTheme="majorHAnsi" w:cstheme="majorHAnsi"/>
                <w:color w:val="002060"/>
              </w:rPr>
              <w:t>Term time only</w:t>
            </w:r>
          </w:p>
        </w:tc>
      </w:tr>
      <w:tr w:rsidR="003A0F1D" w:rsidRPr="00A71B1A" w14:paraId="394B09F2" w14:textId="77777777" w:rsidTr="00CE27FC">
        <w:trPr>
          <w:trHeight w:val="294"/>
        </w:trPr>
        <w:tc>
          <w:tcPr>
            <w:tcW w:w="1985" w:type="dxa"/>
          </w:tcPr>
          <w:p w14:paraId="0F688529" w14:textId="77777777" w:rsidR="003A0F1D" w:rsidRPr="002C0936" w:rsidRDefault="003A0F1D" w:rsidP="00AA6483">
            <w:pPr>
              <w:spacing w:after="0" w:line="240" w:lineRule="auto"/>
              <w:ind w:left="67"/>
              <w:rPr>
                <w:rFonts w:asciiTheme="majorHAnsi" w:hAnsiTheme="majorHAnsi" w:cstheme="majorHAnsi"/>
                <w:b/>
                <w:color w:val="002060"/>
              </w:rPr>
            </w:pPr>
            <w:r w:rsidRPr="002C0936">
              <w:rPr>
                <w:rFonts w:asciiTheme="majorHAnsi" w:hAnsiTheme="majorHAnsi" w:cstheme="majorHAnsi"/>
                <w:b/>
                <w:color w:val="002060"/>
              </w:rPr>
              <w:t>Responsible to:</w:t>
            </w:r>
          </w:p>
        </w:tc>
        <w:tc>
          <w:tcPr>
            <w:tcW w:w="7933" w:type="dxa"/>
          </w:tcPr>
          <w:p w14:paraId="37C91C2F" w14:textId="5FA97D6D" w:rsidR="003A0F1D" w:rsidRPr="002C0936" w:rsidRDefault="002C0936" w:rsidP="00AA6483">
            <w:pPr>
              <w:spacing w:after="0" w:line="240" w:lineRule="auto"/>
              <w:rPr>
                <w:rFonts w:asciiTheme="majorHAnsi" w:hAnsiTheme="majorHAnsi" w:cstheme="majorHAnsi"/>
                <w:color w:val="002060"/>
              </w:rPr>
            </w:pPr>
            <w:r w:rsidRPr="002C0936">
              <w:rPr>
                <w:rFonts w:asciiTheme="majorHAnsi" w:hAnsiTheme="majorHAnsi" w:cstheme="majorHAnsi"/>
                <w:color w:val="002060"/>
              </w:rPr>
              <w:t>Headteacher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15993730" w14:textId="77777777" w:rsidR="002C0936" w:rsidRPr="00A466A1" w:rsidRDefault="003A0F1D" w:rsidP="002C0936">
            <w:pPr>
              <w:ind w:left="142" w:right="228"/>
              <w:rPr>
                <w:rFonts w:asciiTheme="majorHAnsi" w:hAnsiTheme="majorHAnsi" w:cstheme="majorHAnsi"/>
                <w:color w:val="002060"/>
              </w:rPr>
            </w:pPr>
            <w:r w:rsidRPr="008B1418">
              <w:rPr>
                <w:rFonts w:asciiTheme="majorHAnsi" w:hAnsiTheme="majorHAnsi" w:cstheme="majorHAnsi"/>
                <w:color w:val="002060"/>
              </w:rPr>
              <w:t xml:space="preserve"> </w:t>
            </w:r>
            <w:r w:rsidR="002C0936" w:rsidRPr="00A466A1">
              <w:rPr>
                <w:rFonts w:asciiTheme="majorHAnsi" w:hAnsiTheme="majorHAnsi" w:cstheme="majorHAnsi"/>
                <w:color w:val="002060"/>
              </w:rPr>
              <w:t>To ensure the safety, general welfare and conduct of pupils du</w:t>
            </w:r>
            <w:r w:rsidR="002C0936">
              <w:rPr>
                <w:rFonts w:asciiTheme="majorHAnsi" w:hAnsiTheme="majorHAnsi" w:cstheme="majorHAnsi"/>
                <w:color w:val="002060"/>
              </w:rPr>
              <w:t xml:space="preserve">ring the midday break period.  </w:t>
            </w:r>
          </w:p>
          <w:p w14:paraId="343D066C" w14:textId="31E6DBF1" w:rsidR="003A0F1D" w:rsidRPr="008B1418" w:rsidRDefault="002C0936" w:rsidP="002C0936">
            <w:pPr>
              <w:ind w:left="277" w:right="228" w:firstLine="0"/>
              <w:rPr>
                <w:rFonts w:asciiTheme="majorHAnsi" w:hAnsiTheme="majorHAnsi" w:cstheme="majorHAnsi"/>
                <w:color w:val="002060"/>
              </w:rPr>
            </w:pPr>
            <w:r w:rsidRPr="00A466A1">
              <w:rPr>
                <w:rFonts w:asciiTheme="majorHAnsi" w:hAnsiTheme="majorHAnsi" w:cstheme="majorHAnsi"/>
                <w:color w:val="002060"/>
              </w:rPr>
              <w:t>Assistance is also given to school and catering staff with basic cleaning and general duties in and around dining areas.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F131C"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supervise pupils in designated areas of the school during the midday break and to ensure their safety, welfare and general conduct through appropriate application of the school's policies and procedures.</w:t>
            </w:r>
          </w:p>
          <w:p w14:paraId="1A6CE9A6" w14:textId="77777777" w:rsidR="002C0936" w:rsidRPr="00A466A1" w:rsidRDefault="002C0936" w:rsidP="002C0936">
            <w:pPr>
              <w:spacing w:after="0" w:line="240" w:lineRule="auto"/>
              <w:ind w:left="0" w:right="228" w:firstLine="0"/>
              <w:rPr>
                <w:rFonts w:asciiTheme="majorHAnsi" w:hAnsiTheme="majorHAnsi" w:cstheme="majorHAnsi"/>
                <w:color w:val="002060"/>
              </w:rPr>
            </w:pPr>
          </w:p>
          <w:p w14:paraId="5F4C3BED"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establish safe and appropriate behaviour by effective intervention or referral to senior staff.</w:t>
            </w:r>
          </w:p>
          <w:p w14:paraId="0AA3DCE6" w14:textId="77777777" w:rsidR="002C0936" w:rsidRPr="00A466A1" w:rsidRDefault="002C0936" w:rsidP="002C0936">
            <w:pPr>
              <w:spacing w:after="0" w:line="240" w:lineRule="auto"/>
              <w:ind w:left="0" w:right="228" w:firstLine="0"/>
              <w:rPr>
                <w:rFonts w:asciiTheme="majorHAnsi" w:hAnsiTheme="majorHAnsi" w:cstheme="majorHAnsi"/>
                <w:color w:val="002060"/>
              </w:rPr>
            </w:pPr>
          </w:p>
          <w:p w14:paraId="4B5E2950"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supervise the movement of pupils to and from dining areas, including any personal hygiene requirements.</w:t>
            </w:r>
          </w:p>
          <w:p w14:paraId="7663C005" w14:textId="77777777" w:rsidR="002C0936" w:rsidRPr="00A466A1" w:rsidRDefault="002C0936" w:rsidP="002C0936">
            <w:pPr>
              <w:spacing w:after="0" w:line="240" w:lineRule="auto"/>
              <w:ind w:left="0" w:right="228" w:firstLine="0"/>
              <w:rPr>
                <w:rFonts w:asciiTheme="majorHAnsi" w:hAnsiTheme="majorHAnsi" w:cstheme="majorHAnsi"/>
                <w:color w:val="002060"/>
              </w:rPr>
            </w:pPr>
          </w:p>
          <w:p w14:paraId="6BCA7779"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maintain good order in dining areas.</w:t>
            </w:r>
          </w:p>
          <w:p w14:paraId="5156604E" w14:textId="77777777" w:rsidR="002C0936" w:rsidRPr="00A466A1" w:rsidRDefault="002C0936" w:rsidP="002C0936">
            <w:pPr>
              <w:spacing w:after="0" w:line="240" w:lineRule="auto"/>
              <w:ind w:left="0" w:right="228" w:firstLine="0"/>
              <w:rPr>
                <w:rFonts w:asciiTheme="majorHAnsi" w:hAnsiTheme="majorHAnsi" w:cstheme="majorHAnsi"/>
                <w:color w:val="002060"/>
              </w:rPr>
            </w:pPr>
          </w:p>
          <w:p w14:paraId="79B97A35"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assist pupils, where necessary, with the collection of food and return of trays, or other items to the service counter.</w:t>
            </w:r>
          </w:p>
          <w:p w14:paraId="5B923658" w14:textId="77777777" w:rsidR="002C0936" w:rsidRPr="00A466A1" w:rsidRDefault="002C0936" w:rsidP="002C0936">
            <w:pPr>
              <w:spacing w:after="0" w:line="240" w:lineRule="auto"/>
              <w:ind w:left="0" w:right="228" w:firstLine="0"/>
              <w:rPr>
                <w:rFonts w:asciiTheme="majorHAnsi" w:hAnsiTheme="majorHAnsi" w:cstheme="majorHAnsi"/>
                <w:color w:val="002060"/>
              </w:rPr>
            </w:pPr>
          </w:p>
          <w:p w14:paraId="133BA7D0" w14:textId="77777777" w:rsidR="002C0936"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assist pupils, where necessary, with the proper use of cutlery, drinking facilities or other aspects of the midday meal.</w:t>
            </w:r>
          </w:p>
          <w:p w14:paraId="72A181DE" w14:textId="77777777" w:rsidR="002C0936" w:rsidRDefault="002C0936" w:rsidP="002C0936">
            <w:pPr>
              <w:pStyle w:val="ListParagraph"/>
              <w:spacing w:after="0"/>
              <w:rPr>
                <w:rFonts w:asciiTheme="majorHAnsi" w:hAnsiTheme="majorHAnsi" w:cstheme="majorHAnsi"/>
                <w:color w:val="002060"/>
              </w:rPr>
            </w:pPr>
          </w:p>
          <w:p w14:paraId="39002167"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assist in the clearance of any spillages and wiping down, clearing or resetting of tables, as appropriate.</w:t>
            </w:r>
          </w:p>
          <w:p w14:paraId="550E3AB8" w14:textId="77777777" w:rsidR="002C0936" w:rsidRPr="00A466A1" w:rsidRDefault="002C0936" w:rsidP="002C0936">
            <w:pPr>
              <w:spacing w:after="0" w:line="240" w:lineRule="auto"/>
              <w:ind w:left="360" w:right="228" w:firstLine="0"/>
              <w:rPr>
                <w:rFonts w:asciiTheme="majorHAnsi" w:hAnsiTheme="majorHAnsi" w:cstheme="majorHAnsi"/>
                <w:color w:val="002060"/>
              </w:rPr>
            </w:pPr>
          </w:p>
          <w:p w14:paraId="1DEF7791"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assist in the setting up and removal of furniture where necessary.</w:t>
            </w:r>
          </w:p>
          <w:p w14:paraId="06CABD89" w14:textId="77777777" w:rsidR="002C0936" w:rsidRPr="00A466A1" w:rsidRDefault="002C0936" w:rsidP="002C0936">
            <w:pPr>
              <w:spacing w:after="0" w:line="240" w:lineRule="auto"/>
              <w:ind w:left="360" w:right="228" w:firstLine="0"/>
              <w:rPr>
                <w:rFonts w:asciiTheme="majorHAnsi" w:hAnsiTheme="majorHAnsi" w:cstheme="majorHAnsi"/>
                <w:color w:val="002060"/>
              </w:rPr>
            </w:pPr>
          </w:p>
          <w:p w14:paraId="2AD5EBAA"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take any immediate action to attend to sickness or accidents by carrying out minor first aid and summoning relevant assistance.</w:t>
            </w:r>
          </w:p>
          <w:p w14:paraId="6BBEA9C1" w14:textId="77777777" w:rsidR="002C0936" w:rsidRPr="00A466A1" w:rsidRDefault="002C0936" w:rsidP="002C0936">
            <w:pPr>
              <w:spacing w:after="0" w:line="240" w:lineRule="auto"/>
              <w:ind w:left="360" w:right="228" w:firstLine="0"/>
              <w:rPr>
                <w:rFonts w:asciiTheme="majorHAnsi" w:hAnsiTheme="majorHAnsi" w:cstheme="majorHAnsi"/>
                <w:color w:val="002060"/>
              </w:rPr>
            </w:pPr>
          </w:p>
          <w:p w14:paraId="0C833885"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report any unauthorised visitors on school premises.</w:t>
            </w:r>
          </w:p>
          <w:p w14:paraId="211BECE8" w14:textId="77777777" w:rsidR="002C0936" w:rsidRDefault="002C0936" w:rsidP="002C0936">
            <w:pPr>
              <w:spacing w:after="0" w:line="240" w:lineRule="auto"/>
              <w:ind w:left="720" w:right="228" w:firstLine="0"/>
              <w:rPr>
                <w:rFonts w:asciiTheme="majorHAnsi" w:hAnsiTheme="majorHAnsi" w:cstheme="majorHAnsi"/>
                <w:color w:val="002060"/>
              </w:rPr>
            </w:pPr>
          </w:p>
          <w:p w14:paraId="475C48A9" w14:textId="77777777" w:rsidR="002C0936" w:rsidRPr="00A466A1" w:rsidRDefault="002C0936" w:rsidP="002C0936">
            <w:pPr>
              <w:numPr>
                <w:ilvl w:val="0"/>
                <w:numId w:val="7"/>
              </w:numPr>
              <w:spacing w:after="0" w:line="240" w:lineRule="auto"/>
              <w:ind w:right="228"/>
              <w:rPr>
                <w:rFonts w:asciiTheme="majorHAnsi" w:hAnsiTheme="majorHAnsi" w:cstheme="majorHAnsi"/>
                <w:color w:val="002060"/>
              </w:rPr>
            </w:pPr>
            <w:r w:rsidRPr="00A466A1">
              <w:rPr>
                <w:rFonts w:asciiTheme="majorHAnsi" w:hAnsiTheme="majorHAnsi" w:cstheme="majorHAnsi"/>
                <w:color w:val="002060"/>
              </w:rPr>
              <w:t>To complete any documentation required by the school in relation to incidents occurring during the lunchtime break period and to participate in review meetings, as required.</w:t>
            </w:r>
          </w:p>
          <w:p w14:paraId="3A5C6711" w14:textId="77777777" w:rsidR="002C0936" w:rsidRPr="00A466A1" w:rsidRDefault="002C0936" w:rsidP="002C0936">
            <w:pPr>
              <w:spacing w:after="0" w:line="240" w:lineRule="auto"/>
              <w:ind w:left="720" w:right="228" w:firstLine="0"/>
              <w:rPr>
                <w:rFonts w:asciiTheme="majorHAnsi" w:hAnsiTheme="majorHAnsi" w:cstheme="majorHAnsi"/>
                <w:color w:val="002060"/>
              </w:rPr>
            </w:pPr>
          </w:p>
          <w:p w14:paraId="36853EB9" w14:textId="3527511A" w:rsidR="003A0F1D" w:rsidRPr="00D2139B" w:rsidRDefault="003A0F1D" w:rsidP="00BB62C6">
            <w:pPr>
              <w:pStyle w:val="ListParagraph"/>
              <w:spacing w:after="0" w:line="240" w:lineRule="auto"/>
              <w:ind w:left="703"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BB62C6">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7777777" w:rsidR="003A0F1D" w:rsidRPr="00CC1AAC" w:rsidRDefault="003A0F1D" w:rsidP="00AA6483">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F4C6D0F" w14:textId="42CBE129" w:rsidR="00BB62C6" w:rsidRDefault="00BB62C6" w:rsidP="00BB62C6">
            <w:pPr>
              <w:pStyle w:val="ListParagraph"/>
              <w:numPr>
                <w:ilvl w:val="0"/>
                <w:numId w:val="1"/>
              </w:numPr>
              <w:rPr>
                <w:rFonts w:asciiTheme="majorHAnsi" w:hAnsiTheme="majorHAnsi" w:cstheme="majorHAnsi"/>
                <w:color w:val="002060"/>
              </w:rPr>
            </w:pPr>
            <w:r w:rsidRPr="00A466A1">
              <w:rPr>
                <w:rFonts w:asciiTheme="majorHAnsi" w:hAnsiTheme="majorHAnsi" w:cstheme="majorHAnsi"/>
                <w:color w:val="002060"/>
              </w:rPr>
              <w:t xml:space="preserve">No formal qualifications or previous experience is required but the ability to establish positive expectations of pupil behaviour, good relationships with staff and pupils, and a sensitivity to pupils' personal needs is important.  </w:t>
            </w:r>
          </w:p>
          <w:p w14:paraId="2289BCA3" w14:textId="7313E895" w:rsidR="005E4C69" w:rsidRPr="00BB62C6" w:rsidRDefault="005E4C69" w:rsidP="00BB62C6">
            <w:pPr>
              <w:pStyle w:val="ListParagraph"/>
              <w:numPr>
                <w:ilvl w:val="0"/>
                <w:numId w:val="1"/>
              </w:numPr>
              <w:rPr>
                <w:rFonts w:asciiTheme="majorHAnsi" w:hAnsiTheme="majorHAnsi" w:cstheme="majorHAnsi"/>
                <w:color w:val="002060"/>
              </w:rPr>
            </w:pPr>
            <w:r>
              <w:rPr>
                <w:rFonts w:asciiTheme="majorHAnsi" w:hAnsiTheme="majorHAnsi" w:cstheme="majorHAnsi"/>
                <w:color w:val="002060"/>
              </w:rPr>
              <w:t>Manual handling of children</w:t>
            </w:r>
            <w:r w:rsidR="00EA6F3F">
              <w:rPr>
                <w:rFonts w:asciiTheme="majorHAnsi" w:hAnsiTheme="majorHAnsi" w:cstheme="majorHAnsi"/>
                <w:color w:val="002060"/>
              </w:rPr>
              <w:t>’</w:t>
            </w:r>
            <w:r>
              <w:rPr>
                <w:rFonts w:asciiTheme="majorHAnsi" w:hAnsiTheme="majorHAnsi" w:cstheme="majorHAnsi"/>
                <w:color w:val="002060"/>
              </w:rPr>
              <w:t>s lunch tables and chair etc</w:t>
            </w:r>
          </w:p>
          <w:p w14:paraId="539CF72A" w14:textId="77777777" w:rsidR="00BB62C6" w:rsidRDefault="00BB62C6" w:rsidP="00BB62C6">
            <w:pPr>
              <w:pStyle w:val="ListParagraph"/>
              <w:numPr>
                <w:ilvl w:val="0"/>
                <w:numId w:val="1"/>
              </w:numPr>
              <w:rPr>
                <w:rFonts w:asciiTheme="majorHAnsi" w:hAnsiTheme="majorHAnsi" w:cstheme="majorHAnsi"/>
                <w:color w:val="002060"/>
              </w:rPr>
            </w:pPr>
            <w:r w:rsidRPr="00A466A1">
              <w:rPr>
                <w:rFonts w:asciiTheme="majorHAnsi" w:hAnsiTheme="majorHAnsi" w:cstheme="majorHAnsi"/>
                <w:color w:val="002060"/>
              </w:rPr>
              <w:t>Necessary training in food handling may be required.</w:t>
            </w:r>
          </w:p>
          <w:p w14:paraId="1938416A" w14:textId="77777777" w:rsidR="00BB62C6" w:rsidRDefault="00BB62C6" w:rsidP="00BB62C6">
            <w:pPr>
              <w:pStyle w:val="ListParagraph"/>
              <w:numPr>
                <w:ilvl w:val="0"/>
                <w:numId w:val="1"/>
              </w:numPr>
              <w:rPr>
                <w:rFonts w:asciiTheme="majorHAnsi" w:hAnsiTheme="majorHAnsi" w:cstheme="majorHAnsi"/>
                <w:color w:val="002060"/>
              </w:rPr>
            </w:pPr>
            <w:r w:rsidRPr="00A466A1">
              <w:rPr>
                <w:rFonts w:asciiTheme="majorHAnsi" w:hAnsiTheme="majorHAnsi" w:cstheme="majorHAnsi"/>
                <w:color w:val="002060"/>
              </w:rPr>
              <w:t xml:space="preserve">The postholder will be expected to work with limited supervision to an established work pattern.  </w:t>
            </w:r>
          </w:p>
          <w:p w14:paraId="283641CF" w14:textId="5E225729" w:rsidR="00C55DA4" w:rsidRDefault="00BB62C6" w:rsidP="00BB62C6">
            <w:pPr>
              <w:pStyle w:val="ListParagraph"/>
              <w:numPr>
                <w:ilvl w:val="0"/>
                <w:numId w:val="1"/>
              </w:numPr>
              <w:rPr>
                <w:rFonts w:asciiTheme="majorHAnsi" w:hAnsiTheme="majorHAnsi" w:cstheme="majorHAnsi"/>
                <w:color w:val="002060"/>
              </w:rPr>
            </w:pPr>
            <w:r w:rsidRPr="00A466A1">
              <w:rPr>
                <w:rFonts w:asciiTheme="majorHAnsi" w:hAnsiTheme="majorHAnsi" w:cstheme="majorHAnsi"/>
                <w:color w:val="002060"/>
              </w:rPr>
              <w:t xml:space="preserve">To work as a co-operative member of a team </w:t>
            </w:r>
          </w:p>
          <w:p w14:paraId="6676A665" w14:textId="64203A76" w:rsidR="00BB62C6" w:rsidRDefault="00BB62C6" w:rsidP="00BB62C6">
            <w:pPr>
              <w:pStyle w:val="ListParagraph"/>
              <w:numPr>
                <w:ilvl w:val="0"/>
                <w:numId w:val="1"/>
              </w:numPr>
              <w:rPr>
                <w:rFonts w:asciiTheme="majorHAnsi" w:hAnsiTheme="majorHAnsi" w:cstheme="majorHAnsi"/>
                <w:color w:val="002060"/>
              </w:rPr>
            </w:pPr>
            <w:r>
              <w:rPr>
                <w:rFonts w:asciiTheme="majorHAnsi" w:hAnsiTheme="majorHAnsi" w:cstheme="majorHAnsi"/>
                <w:color w:val="002060"/>
              </w:rPr>
              <w:t xml:space="preserve">Ability to </w:t>
            </w:r>
            <w:r w:rsidRPr="00A466A1">
              <w:rPr>
                <w:rFonts w:asciiTheme="majorHAnsi" w:hAnsiTheme="majorHAnsi" w:cstheme="majorHAnsi"/>
                <w:color w:val="002060"/>
              </w:rPr>
              <w:t>respond to challenging behaviour of pupils</w:t>
            </w:r>
          </w:p>
          <w:p w14:paraId="436F9BC1" w14:textId="61F8813C" w:rsidR="00BF07DA" w:rsidRDefault="00BF07DA" w:rsidP="00BB62C6">
            <w:pPr>
              <w:pStyle w:val="ListParagraph"/>
              <w:numPr>
                <w:ilvl w:val="0"/>
                <w:numId w:val="1"/>
              </w:numPr>
              <w:rPr>
                <w:rFonts w:asciiTheme="majorHAnsi" w:hAnsiTheme="majorHAnsi" w:cstheme="majorHAnsi"/>
                <w:color w:val="002060"/>
              </w:rPr>
            </w:pPr>
            <w:r>
              <w:rPr>
                <w:rFonts w:asciiTheme="majorHAnsi" w:hAnsiTheme="majorHAnsi" w:cstheme="majorHAnsi"/>
                <w:color w:val="002060"/>
              </w:rPr>
              <w:t>Good communication skills</w:t>
            </w:r>
          </w:p>
          <w:p w14:paraId="1582D5E8" w14:textId="28C64EE7" w:rsidR="00BF07DA" w:rsidRPr="00BB62C6" w:rsidRDefault="00BF07DA" w:rsidP="00BB62C6">
            <w:pPr>
              <w:pStyle w:val="ListParagraph"/>
              <w:numPr>
                <w:ilvl w:val="0"/>
                <w:numId w:val="1"/>
              </w:numPr>
              <w:rPr>
                <w:rFonts w:asciiTheme="majorHAnsi" w:hAnsiTheme="majorHAnsi" w:cstheme="majorHAnsi"/>
                <w:color w:val="002060"/>
              </w:rPr>
            </w:pPr>
            <w:r>
              <w:rPr>
                <w:rFonts w:asciiTheme="majorHAnsi" w:hAnsiTheme="majorHAnsi" w:cstheme="majorHAnsi"/>
                <w:color w:val="002060"/>
              </w:rPr>
              <w:t>A calm, patient manner</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152BC532" w14:textId="00486E3F" w:rsidR="00C55DA4" w:rsidRPr="00BB62C6" w:rsidRDefault="00C55DA4" w:rsidP="00BB62C6">
            <w:pPr>
              <w:spacing w:after="0" w:line="240" w:lineRule="auto"/>
              <w:ind w:left="0" w:right="228" w:firstLine="0"/>
              <w:rPr>
                <w:rFonts w:asciiTheme="majorHAnsi" w:hAnsiTheme="majorHAnsi" w:cstheme="majorHAnsi"/>
                <w:b/>
                <w:color w:val="002060"/>
              </w:rPr>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540D4DFF" w14:textId="77777777" w:rsidR="003A0F1D" w:rsidRPr="00D2139B" w:rsidRDefault="003A0F1D" w:rsidP="00BB62C6">
            <w:pPr>
              <w:ind w:left="0"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510BC8A" w14:textId="1DECCF93" w:rsidR="00FB350D" w:rsidRPr="00DC6203" w:rsidRDefault="00FB350D" w:rsidP="00BB62C6">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00710E">
            <w:pPr>
              <w:spacing w:after="0" w:line="240" w:lineRule="auto"/>
              <w:ind w:left="20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E7268C"/>
    <w:multiLevelType w:val="hybridMultilevel"/>
    <w:tmpl w:val="F272971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50E34"/>
    <w:rsid w:val="002C0936"/>
    <w:rsid w:val="003A0F1D"/>
    <w:rsid w:val="003D753F"/>
    <w:rsid w:val="003F3236"/>
    <w:rsid w:val="00425881"/>
    <w:rsid w:val="004373FF"/>
    <w:rsid w:val="00450F45"/>
    <w:rsid w:val="00486D12"/>
    <w:rsid w:val="004C7617"/>
    <w:rsid w:val="004E1FF1"/>
    <w:rsid w:val="005773EC"/>
    <w:rsid w:val="005C2FBE"/>
    <w:rsid w:val="005E4C69"/>
    <w:rsid w:val="006733C7"/>
    <w:rsid w:val="006965FC"/>
    <w:rsid w:val="00717779"/>
    <w:rsid w:val="008B1418"/>
    <w:rsid w:val="00B32604"/>
    <w:rsid w:val="00BA0E9A"/>
    <w:rsid w:val="00BB62C6"/>
    <w:rsid w:val="00BF07DA"/>
    <w:rsid w:val="00C55DA4"/>
    <w:rsid w:val="00CB2D01"/>
    <w:rsid w:val="00CE27FC"/>
    <w:rsid w:val="00DC6203"/>
    <w:rsid w:val="00EA6B3C"/>
    <w:rsid w:val="00EA6F3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1805B9DEBB647AE611137B2346D35" ma:contentTypeVersion="14" ma:contentTypeDescription="Create a new document." ma:contentTypeScope="" ma:versionID="7a53672ead5411723e079d00e284afc4">
  <xsd:schema xmlns:xsd="http://www.w3.org/2001/XMLSchema" xmlns:xs="http://www.w3.org/2001/XMLSchema" xmlns:p="http://schemas.microsoft.com/office/2006/metadata/properties" xmlns:ns2="bc11d83e-f3cc-40a3-b40f-75707fc3bb1d" xmlns:ns3="6a270112-37fa-491b-af8a-e9d0720d609a" targetNamespace="http://schemas.microsoft.com/office/2006/metadata/properties" ma:root="true" ma:fieldsID="93be0da13e1e9172c220ce98afe1b5de" ns2:_="" ns3:_="">
    <xsd:import namespace="bc11d83e-f3cc-40a3-b40f-75707fc3bb1d"/>
    <xsd:import namespace="6a270112-37fa-491b-af8a-e9d0720d60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270112-37fa-491b-af8a-e9d0720d60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6a270112-37fa-491b-af8a-e9d0720d60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81001DC6-9945-4D29-88B9-3C0FC398354B}"/>
</file>

<file path=customXml/itemProps3.xml><?xml version="1.0" encoding="utf-8"?>
<ds:datastoreItem xmlns:ds="http://schemas.openxmlformats.org/officeDocument/2006/customXml" ds:itemID="{3053DC40-635A-4AD8-824C-3AC7A426B2C0}">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cb7af88e-7724-4fa4-b9d4-20614b602a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2696</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Harris</cp:lastModifiedBy>
  <cp:revision>2</cp:revision>
  <dcterms:created xsi:type="dcterms:W3CDTF">2023-09-13T11:31:00Z</dcterms:created>
  <dcterms:modified xsi:type="dcterms:W3CDTF">2023-09-13T11:31:00Z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0x0101003641805B9DEBB647AE611137B2346D35</vt:lpwstr>
  </property>
</Properties>
</file>